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015AE7F" w:rsidR="001C4FB2" w:rsidRPr="00755B01" w:rsidRDefault="0A94DAAD" w:rsidP="1A6E765B">
      <w:pPr>
        <w:pStyle w:val="Heading1"/>
        <w:rPr>
          <w:rFonts w:ascii="Calibri Light" w:hAnsi="Calibri Light"/>
          <w:b/>
          <w:bCs/>
          <w:color w:val="000000" w:themeColor="text1"/>
        </w:rPr>
      </w:pPr>
      <w:r w:rsidRPr="00755B01">
        <w:rPr>
          <w:b/>
          <w:bCs/>
          <w:color w:val="000000" w:themeColor="text1"/>
        </w:rPr>
        <w:t>Tender Process for SICAP Evaluation Notes</w:t>
      </w:r>
    </w:p>
    <w:p w14:paraId="718F80E6" w14:textId="77777777" w:rsidR="00877204" w:rsidRDefault="00877204" w:rsidP="1A6E765B">
      <w:pPr>
        <w:pStyle w:val="Heading2"/>
        <w:rPr>
          <w:b/>
          <w:bCs/>
          <w:color w:val="000000" w:themeColor="text1"/>
        </w:rPr>
      </w:pPr>
    </w:p>
    <w:p w14:paraId="1DEA688D" w14:textId="2CDB3BBD" w:rsidR="38457A57" w:rsidRDefault="38457A57" w:rsidP="1A6E765B">
      <w:pPr>
        <w:pStyle w:val="Heading2"/>
        <w:rPr>
          <w:b/>
          <w:bCs/>
          <w:color w:val="000000" w:themeColor="text1"/>
        </w:rPr>
      </w:pPr>
      <w:r w:rsidRPr="00755B01">
        <w:rPr>
          <w:b/>
          <w:bCs/>
          <w:color w:val="000000" w:themeColor="text1"/>
        </w:rPr>
        <w:t>Some updates for 2018 – 2023</w:t>
      </w:r>
    </w:p>
    <w:p w14:paraId="54E26620" w14:textId="77777777" w:rsidR="00755B01" w:rsidRPr="00755B01" w:rsidRDefault="00755B01" w:rsidP="00755B01"/>
    <w:p w14:paraId="67C4402A" w14:textId="616AB3E5" w:rsidR="6DA80DB8" w:rsidRPr="00755B01" w:rsidRDefault="6DA80DB8" w:rsidP="1A6E765B">
      <w:pPr>
        <w:rPr>
          <w:color w:val="000000" w:themeColor="text1"/>
        </w:rPr>
      </w:pPr>
      <w:r w:rsidRPr="00755B01">
        <w:rPr>
          <w:color w:val="000000" w:themeColor="text1"/>
        </w:rPr>
        <w:t xml:space="preserve">The aim of SICAP is to reduce poverty and promote social inclusion and equality in Ireland through supporting </w:t>
      </w:r>
      <w:r w:rsidR="74006B02" w:rsidRPr="00755B01">
        <w:rPr>
          <w:color w:val="000000" w:themeColor="text1"/>
        </w:rPr>
        <w:t>communities</w:t>
      </w:r>
      <w:r w:rsidRPr="00755B01">
        <w:rPr>
          <w:color w:val="000000" w:themeColor="text1"/>
        </w:rPr>
        <w:t xml:space="preserve"> and individuals using community development approaches, </w:t>
      </w:r>
      <w:bookmarkStart w:id="0" w:name="_Int_112noi9i"/>
      <w:r w:rsidR="089E6441" w:rsidRPr="00755B01">
        <w:rPr>
          <w:color w:val="000000" w:themeColor="text1"/>
        </w:rPr>
        <w:t>engagement,</w:t>
      </w:r>
      <w:bookmarkEnd w:id="0"/>
      <w:r w:rsidRPr="00755B01">
        <w:rPr>
          <w:color w:val="000000" w:themeColor="text1"/>
        </w:rPr>
        <w:t xml:space="preserve"> and collaboration.</w:t>
      </w:r>
    </w:p>
    <w:p w14:paraId="5939831C" w14:textId="382EEA13" w:rsidR="6DA80DB8" w:rsidRPr="00755B01" w:rsidRDefault="6DA80DB8" w:rsidP="1A6E765B">
      <w:pPr>
        <w:rPr>
          <w:b/>
          <w:bCs/>
          <w:color w:val="000000" w:themeColor="text1"/>
        </w:rPr>
      </w:pPr>
      <w:r w:rsidRPr="00755B01">
        <w:rPr>
          <w:b/>
          <w:bCs/>
          <w:color w:val="000000" w:themeColor="text1"/>
        </w:rPr>
        <w:t>SICAP Target groups</w:t>
      </w:r>
    </w:p>
    <w:p w14:paraId="4CB57610" w14:textId="35693464" w:rsidR="6DA80DB8" w:rsidRPr="00755B01" w:rsidRDefault="6DA80DB8" w:rsidP="1A6E765B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755B01">
        <w:rPr>
          <w:color w:val="000000" w:themeColor="text1"/>
        </w:rPr>
        <w:t>Disadvantaged Children &amp; Families</w:t>
      </w:r>
    </w:p>
    <w:p w14:paraId="0E7E1F92" w14:textId="7D4A10BD" w:rsidR="6DA80DB8" w:rsidRPr="00755B01" w:rsidRDefault="6DA80DB8" w:rsidP="1A6E76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55B01">
        <w:rPr>
          <w:color w:val="000000" w:themeColor="text1"/>
        </w:rPr>
        <w:t>Disadvantaged Young People (aged 15-24)</w:t>
      </w:r>
    </w:p>
    <w:p w14:paraId="103071CC" w14:textId="698866EE" w:rsidR="6DA80DB8" w:rsidRPr="00755B01" w:rsidRDefault="6DA80DB8" w:rsidP="1A6E76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55B01">
        <w:rPr>
          <w:color w:val="000000" w:themeColor="text1"/>
        </w:rPr>
        <w:t>Disadvantaged Women</w:t>
      </w:r>
    </w:p>
    <w:p w14:paraId="1F5D2DA1" w14:textId="1236C4FA" w:rsidR="6DA80DB8" w:rsidRPr="00755B01" w:rsidRDefault="6DA80DB8" w:rsidP="1A6E76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55B01">
        <w:rPr>
          <w:color w:val="000000" w:themeColor="text1"/>
        </w:rPr>
        <w:t xml:space="preserve">Emerging Needs Group </w:t>
      </w:r>
    </w:p>
    <w:p w14:paraId="62B9A5D4" w14:textId="471BB1D7" w:rsidR="6DA80DB8" w:rsidRPr="00755B01" w:rsidRDefault="6DA80DB8" w:rsidP="1A6E76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55B01">
        <w:rPr>
          <w:color w:val="000000" w:themeColor="text1"/>
        </w:rPr>
        <w:t>Lone Parents</w:t>
      </w:r>
    </w:p>
    <w:p w14:paraId="535D3458" w14:textId="5C5E442A" w:rsidR="6DA80DB8" w:rsidRPr="00755B01" w:rsidRDefault="6DA80DB8" w:rsidP="1A6E76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55B01">
        <w:rPr>
          <w:color w:val="000000" w:themeColor="text1"/>
        </w:rPr>
        <w:t>Low Income Workers/Households</w:t>
      </w:r>
    </w:p>
    <w:p w14:paraId="69E0ADAB" w14:textId="12414D67" w:rsidR="6DA80DB8" w:rsidRPr="00755B01" w:rsidRDefault="6DA80DB8" w:rsidP="1A6E76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55B01">
        <w:rPr>
          <w:color w:val="000000" w:themeColor="text1"/>
        </w:rPr>
        <w:t>New Communities</w:t>
      </w:r>
    </w:p>
    <w:p w14:paraId="6CB006B9" w14:textId="2B47DA46" w:rsidR="6DA80DB8" w:rsidRPr="00755B01" w:rsidRDefault="6DA80DB8" w:rsidP="1A6E76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55B01">
        <w:rPr>
          <w:color w:val="000000" w:themeColor="text1"/>
        </w:rPr>
        <w:t>People living in Disadvantaged Communities</w:t>
      </w:r>
    </w:p>
    <w:p w14:paraId="00BC577A" w14:textId="66340D19" w:rsidR="6DA80DB8" w:rsidRPr="00755B01" w:rsidRDefault="6DA80DB8" w:rsidP="1A6E76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55B01">
        <w:rPr>
          <w:color w:val="000000" w:themeColor="text1"/>
        </w:rPr>
        <w:t>People with Disabilities</w:t>
      </w:r>
    </w:p>
    <w:p w14:paraId="303D0AD6" w14:textId="10B63166" w:rsidR="6DA80DB8" w:rsidRPr="00755B01" w:rsidRDefault="6DA80DB8" w:rsidP="1A6E76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55B01">
        <w:rPr>
          <w:color w:val="000000" w:themeColor="text1"/>
        </w:rPr>
        <w:t>Roma</w:t>
      </w:r>
    </w:p>
    <w:p w14:paraId="18CF4E97" w14:textId="093E59C1" w:rsidR="6DA80DB8" w:rsidRPr="00755B01" w:rsidRDefault="6DA80DB8" w:rsidP="1A6E76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55B01">
        <w:rPr>
          <w:color w:val="000000" w:themeColor="text1"/>
        </w:rPr>
        <w:t>Travellers</w:t>
      </w:r>
    </w:p>
    <w:p w14:paraId="6ACDE54E" w14:textId="02B5BBD1" w:rsidR="6DA80DB8" w:rsidRPr="00755B01" w:rsidRDefault="6DA80DB8" w:rsidP="1A6E76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55B01">
        <w:rPr>
          <w:color w:val="000000" w:themeColor="text1"/>
        </w:rPr>
        <w:t>The Disengaged form the Labour Market (Economically Inactive)</w:t>
      </w:r>
    </w:p>
    <w:p w14:paraId="76B83324" w14:textId="490879BE" w:rsidR="6DA80DB8" w:rsidRPr="00755B01" w:rsidRDefault="6DA80DB8" w:rsidP="1A6E76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55B01">
        <w:rPr>
          <w:color w:val="000000" w:themeColor="text1"/>
        </w:rPr>
        <w:t xml:space="preserve">The </w:t>
      </w:r>
      <w:r w:rsidR="1EF0E857" w:rsidRPr="00755B01">
        <w:rPr>
          <w:color w:val="000000" w:themeColor="text1"/>
        </w:rPr>
        <w:t>Unemployed</w:t>
      </w:r>
    </w:p>
    <w:p w14:paraId="108BA6E1" w14:textId="0DBA1046" w:rsidR="50FC63BE" w:rsidRPr="00755B01" w:rsidRDefault="50FC63BE" w:rsidP="1A6E765B">
      <w:pPr>
        <w:rPr>
          <w:b/>
          <w:bCs/>
          <w:color w:val="000000" w:themeColor="text1"/>
        </w:rPr>
      </w:pPr>
      <w:r w:rsidRPr="00755B01">
        <w:rPr>
          <w:b/>
          <w:bCs/>
          <w:color w:val="000000" w:themeColor="text1"/>
        </w:rPr>
        <w:t>Horizontal</w:t>
      </w:r>
      <w:r w:rsidR="1EF0E857" w:rsidRPr="00755B01">
        <w:rPr>
          <w:b/>
          <w:bCs/>
          <w:color w:val="000000" w:themeColor="text1"/>
        </w:rPr>
        <w:t xml:space="preserve"> </w:t>
      </w:r>
      <w:r w:rsidR="59C25477" w:rsidRPr="00755B01">
        <w:rPr>
          <w:b/>
          <w:bCs/>
          <w:color w:val="000000" w:themeColor="text1"/>
        </w:rPr>
        <w:t>Themes:</w:t>
      </w:r>
      <w:r w:rsidR="1EF0E857" w:rsidRPr="00755B01">
        <w:rPr>
          <w:b/>
          <w:bCs/>
          <w:color w:val="000000" w:themeColor="text1"/>
        </w:rPr>
        <w:t xml:space="preserve"> </w:t>
      </w:r>
    </w:p>
    <w:p w14:paraId="63F2E84A" w14:textId="2F680C61" w:rsidR="5C96ECCC" w:rsidRPr="00755B01" w:rsidRDefault="5C96ECCC" w:rsidP="1A6E765B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0755B01">
        <w:rPr>
          <w:color w:val="000000" w:themeColor="text1"/>
        </w:rPr>
        <w:t>Promoting</w:t>
      </w:r>
      <w:r w:rsidR="1EF0E857" w:rsidRPr="00755B01">
        <w:rPr>
          <w:color w:val="000000" w:themeColor="text1"/>
        </w:rPr>
        <w:t xml:space="preserve"> an equality framework with a particular focus on gender equality and anti-discrimination practices</w:t>
      </w:r>
    </w:p>
    <w:p w14:paraId="2B7A990B" w14:textId="3548802B" w:rsidR="4FFF8BDE" w:rsidRPr="00755B01" w:rsidRDefault="4FFF8BDE" w:rsidP="1A6E765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55B01">
        <w:rPr>
          <w:color w:val="000000" w:themeColor="text1"/>
        </w:rPr>
        <w:t>Applying community development approaches to achieve the participation of disadvantaged and marginalised communities in the wider local development context</w:t>
      </w:r>
    </w:p>
    <w:p w14:paraId="4F69BEB7" w14:textId="2F68740A" w:rsidR="4FFF8BDE" w:rsidRPr="00755B01" w:rsidRDefault="4FFF8BDE" w:rsidP="1A6E765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55B01">
        <w:rPr>
          <w:color w:val="000000" w:themeColor="text1"/>
        </w:rPr>
        <w:t>Developing collaborative approaches with stakeholders to improve how mainstream policies and programmes are delivered so that they impact more positively on the socially excluded.</w:t>
      </w:r>
    </w:p>
    <w:p w14:paraId="03DFDB3B" w14:textId="2C8D90FE" w:rsidR="4FFF8BDE" w:rsidRPr="00755B01" w:rsidRDefault="4FFF8BDE" w:rsidP="1A6E765B">
      <w:pPr>
        <w:rPr>
          <w:b/>
          <w:bCs/>
          <w:color w:val="000000" w:themeColor="text1"/>
        </w:rPr>
      </w:pPr>
      <w:r w:rsidRPr="00755B01">
        <w:rPr>
          <w:b/>
          <w:bCs/>
          <w:color w:val="000000" w:themeColor="text1"/>
        </w:rPr>
        <w:t>SICAP Goals</w:t>
      </w:r>
    </w:p>
    <w:p w14:paraId="5EA79BE3" w14:textId="28DB8B56" w:rsidR="4FFF8BDE" w:rsidRPr="00755B01" w:rsidRDefault="4FFF8BDE" w:rsidP="1A6E765B">
      <w:pPr>
        <w:rPr>
          <w:color w:val="000000" w:themeColor="text1"/>
        </w:rPr>
      </w:pPr>
      <w:r w:rsidRPr="00755B01">
        <w:rPr>
          <w:color w:val="000000" w:themeColor="text1"/>
        </w:rPr>
        <w:t xml:space="preserve">Goal 1: Supporting Communities. To support communities and target groups to engage with relevant stakeholders in identifying and addressing social exclusion and equality issues, developing the </w:t>
      </w:r>
      <w:r w:rsidR="54ACC485" w:rsidRPr="00755B01">
        <w:rPr>
          <w:color w:val="000000" w:themeColor="text1"/>
        </w:rPr>
        <w:t>capacity</w:t>
      </w:r>
      <w:r w:rsidRPr="00755B01">
        <w:rPr>
          <w:color w:val="000000" w:themeColor="text1"/>
        </w:rPr>
        <w:t xml:space="preserve"> of Local Community Groups,</w:t>
      </w:r>
      <w:r w:rsidR="755A51EC" w:rsidRPr="00755B01">
        <w:rPr>
          <w:color w:val="000000" w:themeColor="text1"/>
        </w:rPr>
        <w:t xml:space="preserve"> and cr</w:t>
      </w:r>
      <w:r w:rsidR="0EC9B54C" w:rsidRPr="00755B01">
        <w:rPr>
          <w:color w:val="000000" w:themeColor="text1"/>
        </w:rPr>
        <w:t>e</w:t>
      </w:r>
      <w:r w:rsidR="755A51EC" w:rsidRPr="00755B01">
        <w:rPr>
          <w:color w:val="000000" w:themeColor="text1"/>
        </w:rPr>
        <w:t>ating more sustainable communities.</w:t>
      </w:r>
    </w:p>
    <w:p w14:paraId="148D2C30" w14:textId="74E145BF" w:rsidR="727B3E19" w:rsidRPr="00755B01" w:rsidRDefault="727B3E19" w:rsidP="1A6E765B">
      <w:pPr>
        <w:rPr>
          <w:color w:val="000000" w:themeColor="text1"/>
        </w:rPr>
      </w:pPr>
      <w:r w:rsidRPr="00755B01">
        <w:rPr>
          <w:color w:val="000000" w:themeColor="text1"/>
        </w:rPr>
        <w:t>Goal 2: Supporting individuals. To support disadvantaged individuals to improve the quality of their lives through the provision of lifelong learning and labour market supports.</w:t>
      </w:r>
    </w:p>
    <w:p w14:paraId="249E9257" w14:textId="5EEB33A1" w:rsidR="1A6E765B" w:rsidRPr="00755B01" w:rsidRDefault="1A6E765B" w:rsidP="1A6E765B">
      <w:pPr>
        <w:rPr>
          <w:color w:val="000000" w:themeColor="text1"/>
        </w:rPr>
      </w:pPr>
    </w:p>
    <w:p w14:paraId="199BC2C7" w14:textId="2F28482B" w:rsidR="309E3667" w:rsidRPr="00755B01" w:rsidRDefault="309E3667" w:rsidP="309E3667">
      <w:pPr>
        <w:rPr>
          <w:color w:val="000000" w:themeColor="text1"/>
        </w:rPr>
      </w:pPr>
    </w:p>
    <w:p w14:paraId="1750A365" w14:textId="7084715D" w:rsidR="309E3667" w:rsidRPr="00755B01" w:rsidRDefault="309E3667" w:rsidP="309E3667">
      <w:pPr>
        <w:rPr>
          <w:color w:val="000000" w:themeColor="text1"/>
        </w:rPr>
      </w:pPr>
    </w:p>
    <w:p w14:paraId="5741415D" w14:textId="6846C2D8" w:rsidR="309E3667" w:rsidRPr="00755B01" w:rsidRDefault="309E3667" w:rsidP="309E3667">
      <w:pPr>
        <w:rPr>
          <w:color w:val="000000" w:themeColor="text1"/>
        </w:rPr>
      </w:pPr>
    </w:p>
    <w:p w14:paraId="4CF24758" w14:textId="6D216784" w:rsidR="309E3667" w:rsidRPr="00755B01" w:rsidRDefault="309E3667" w:rsidP="309E3667">
      <w:pPr>
        <w:rPr>
          <w:color w:val="000000" w:themeColor="text1"/>
        </w:rPr>
      </w:pPr>
    </w:p>
    <w:p w14:paraId="1C275A64" w14:textId="677C6087" w:rsidR="309E3667" w:rsidRPr="00755B01" w:rsidRDefault="309E3667" w:rsidP="309E3667">
      <w:pPr>
        <w:rPr>
          <w:color w:val="000000" w:themeColor="text1"/>
        </w:rPr>
      </w:pPr>
    </w:p>
    <w:p w14:paraId="6EC9C288" w14:textId="694D1B4F" w:rsidR="309E3667" w:rsidRPr="00755B01" w:rsidRDefault="309E3667" w:rsidP="309E3667">
      <w:pPr>
        <w:rPr>
          <w:color w:val="000000" w:themeColor="text1"/>
        </w:rPr>
      </w:pPr>
    </w:p>
    <w:p w14:paraId="27818FFF" w14:textId="087EE684" w:rsidR="48D9C2E7" w:rsidRPr="00755B01" w:rsidRDefault="48D9C2E7" w:rsidP="1A6E765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755B01">
        <w:rPr>
          <w:color w:val="000000" w:themeColor="text1"/>
        </w:rPr>
        <w:t xml:space="preserve">SICAP Policy – SICAP Programme Requirements, </w:t>
      </w:r>
      <w:hyperlink r:id="rId8">
        <w:r w:rsidRPr="00755B01">
          <w:rPr>
            <w:rStyle w:val="Hyperlink"/>
            <w:rFonts w:eastAsia="Roboto" w:cs="Roboto"/>
            <w:color w:val="000000" w:themeColor="text1"/>
            <w:u w:val="none"/>
          </w:rPr>
          <w:t>A Comparison of Women and Men supported by SICAP,</w:t>
        </w:r>
      </w:hyperlink>
      <w:r w:rsidRPr="00755B01">
        <w:rPr>
          <w:rFonts w:eastAsia="Roboto" w:cs="Roboto"/>
          <w:color w:val="000000" w:themeColor="text1"/>
        </w:rPr>
        <w:t xml:space="preserve"> </w:t>
      </w:r>
      <w:hyperlink r:id="rId9">
        <w:r w:rsidRPr="00755B01">
          <w:rPr>
            <w:rStyle w:val="Hyperlink"/>
            <w:rFonts w:eastAsia="Roboto" w:cs="Roboto"/>
            <w:color w:val="000000" w:themeColor="text1"/>
            <w:u w:val="none"/>
          </w:rPr>
          <w:t>The Role of SICAP in Supporting New Communities,</w:t>
        </w:r>
      </w:hyperlink>
      <w:r w:rsidRPr="00755B01">
        <w:rPr>
          <w:rFonts w:eastAsia="Roboto" w:cs="Roboto"/>
          <w:color w:val="000000" w:themeColor="text1"/>
        </w:rPr>
        <w:t xml:space="preserve"> </w:t>
      </w:r>
      <w:hyperlink r:id="rId10">
        <w:r w:rsidRPr="00755B01">
          <w:rPr>
            <w:rStyle w:val="Hyperlink"/>
            <w:rFonts w:eastAsia="Roboto" w:cs="Roboto"/>
            <w:color w:val="000000" w:themeColor="text1"/>
            <w:u w:val="none"/>
          </w:rPr>
          <w:t>ESRI (2020) Evaluation of Pre-employment Supports,</w:t>
        </w:r>
      </w:hyperlink>
      <w:r w:rsidRPr="00755B01">
        <w:rPr>
          <w:rFonts w:eastAsia="Roboto" w:cs="Roboto"/>
          <w:color w:val="000000" w:themeColor="text1"/>
        </w:rPr>
        <w:t xml:space="preserve"> </w:t>
      </w:r>
      <w:hyperlink r:id="rId11">
        <w:r w:rsidR="2E92CBE4" w:rsidRPr="00755B01">
          <w:rPr>
            <w:rStyle w:val="Hyperlink"/>
            <w:rFonts w:eastAsia="Roboto" w:cs="Roboto"/>
            <w:color w:val="000000" w:themeColor="text1"/>
            <w:u w:val="none"/>
          </w:rPr>
          <w:t>Good practice for working with NEETs under SICAP,</w:t>
        </w:r>
      </w:hyperlink>
      <w:r w:rsidR="2E92CBE4" w:rsidRPr="00755B01">
        <w:rPr>
          <w:rFonts w:eastAsia="Roboto" w:cs="Roboto"/>
          <w:color w:val="000000" w:themeColor="text1"/>
        </w:rPr>
        <w:t xml:space="preserve"> </w:t>
      </w:r>
      <w:hyperlink r:id="rId12">
        <w:r w:rsidR="2E92CBE4" w:rsidRPr="00755B01">
          <w:rPr>
            <w:rStyle w:val="Hyperlink"/>
            <w:rFonts w:eastAsia="Roboto" w:cs="Roboto"/>
            <w:color w:val="000000" w:themeColor="text1"/>
            <w:u w:val="none"/>
          </w:rPr>
          <w:t>Ethnic Data Collection: Good Practice Guidelines for SICAP Programme Implementers</w:t>
        </w:r>
        <w:r w:rsidR="0444405A" w:rsidRPr="00755B01">
          <w:rPr>
            <w:rStyle w:val="Hyperlink"/>
            <w:rFonts w:eastAsia="Roboto" w:cs="Roboto"/>
            <w:color w:val="000000" w:themeColor="text1"/>
            <w:u w:val="none"/>
          </w:rPr>
          <w:t>,</w:t>
        </w:r>
      </w:hyperlink>
      <w:r w:rsidR="0444405A" w:rsidRPr="00755B01">
        <w:rPr>
          <w:color w:val="000000" w:themeColor="text1"/>
        </w:rPr>
        <w:t xml:space="preserve"> </w:t>
      </w:r>
      <w:hyperlink r:id="rId13">
        <w:r w:rsidR="0444405A" w:rsidRPr="00755B01">
          <w:rPr>
            <w:rStyle w:val="Hyperlink"/>
            <w:rFonts w:eastAsia="Roboto" w:cs="Roboto"/>
            <w:color w:val="000000" w:themeColor="text1"/>
            <w:u w:val="none"/>
          </w:rPr>
          <w:t xml:space="preserve">Exploring LCDP Training Programmes </w:t>
        </w:r>
      </w:hyperlink>
      <w:r w:rsidR="0444405A" w:rsidRPr="00755B01">
        <w:rPr>
          <w:color w:val="000000" w:themeColor="text1"/>
        </w:rPr>
        <w:t xml:space="preserve"> , </w:t>
      </w:r>
    </w:p>
    <w:p w14:paraId="0A9262C0" w14:textId="0A5DD167" w:rsidR="7CD04F41" w:rsidRPr="00755B01" w:rsidRDefault="7CD04F41" w:rsidP="1A6E765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55B01">
        <w:rPr>
          <w:color w:val="000000" w:themeColor="text1"/>
        </w:rPr>
        <w:t xml:space="preserve">Review of </w:t>
      </w:r>
      <w:r w:rsidR="00755B01">
        <w:rPr>
          <w:color w:val="000000" w:themeColor="text1"/>
        </w:rPr>
        <w:t xml:space="preserve">programme </w:t>
      </w:r>
      <w:r w:rsidRPr="00755B01">
        <w:rPr>
          <w:color w:val="000000" w:themeColor="text1"/>
        </w:rPr>
        <w:t xml:space="preserve">evaluations and PAPs </w:t>
      </w:r>
    </w:p>
    <w:p w14:paraId="2CE7BE62" w14:textId="51B6DCFE" w:rsidR="1A6E765B" w:rsidRPr="00755B01" w:rsidRDefault="1A6E765B" w:rsidP="1A6E765B">
      <w:pPr>
        <w:rPr>
          <w:color w:val="000000" w:themeColor="text1"/>
        </w:rPr>
      </w:pPr>
    </w:p>
    <w:p w14:paraId="2121BE0B" w14:textId="2AB472E2" w:rsidR="1A6E765B" w:rsidRPr="00755B01" w:rsidRDefault="1A6E765B" w:rsidP="1A6E765B">
      <w:pPr>
        <w:rPr>
          <w:color w:val="000000" w:themeColor="text1"/>
        </w:rPr>
      </w:pPr>
    </w:p>
    <w:p w14:paraId="4921F75B" w14:textId="77777777" w:rsidR="00811880" w:rsidRPr="00811880" w:rsidRDefault="00811880" w:rsidP="00811880">
      <w:pPr>
        <w:spacing w:after="0" w:line="240" w:lineRule="auto"/>
        <w:rPr>
          <w:rFonts w:ascii="Calibri" w:eastAsia="Calibri" w:hAnsi="Calibri" w:cs="Calibri"/>
          <w:lang w:val="en-IE" w:eastAsia="en-IE"/>
        </w:rPr>
      </w:pPr>
      <w:r w:rsidRPr="00811880">
        <w:rPr>
          <w:rFonts w:ascii="Calibri" w:eastAsia="Calibri" w:hAnsi="Calibri" w:cs="Calibri"/>
          <w:noProof/>
          <w:lang w:val="en-IE" w:eastAsia="en-IE"/>
        </w:rPr>
        <w:drawing>
          <wp:inline distT="0" distB="0" distL="0" distR="0" wp14:anchorId="371B4948" wp14:editId="114D64F8">
            <wp:extent cx="5133975" cy="55245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80">
        <w:rPr>
          <w:rFonts w:ascii="Calibri" w:eastAsia="Calibri" w:hAnsi="Calibri" w:cs="Calibri"/>
          <w:noProof/>
          <w:lang w:val="en-IE" w:eastAsia="en-IE"/>
        </w:rPr>
        <w:drawing>
          <wp:inline distT="0" distB="0" distL="0" distR="0" wp14:anchorId="54E23518" wp14:editId="051BB223">
            <wp:extent cx="571500" cy="5715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CF33C" w14:textId="3922229D" w:rsidR="1A6E765B" w:rsidRPr="00755B01" w:rsidRDefault="1A6E765B" w:rsidP="1A6E765B">
      <w:pPr>
        <w:rPr>
          <w:color w:val="000000" w:themeColor="text1"/>
        </w:rPr>
      </w:pPr>
    </w:p>
    <w:sectPr w:rsidR="1A6E765B" w:rsidRPr="00755B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GhOg4aa" int2:invalidationBookmarkName="" int2:hashCode="E1+Tt6RJBbZOzq" int2:id="bHI3WFdr"/>
    <int2:bookmark int2:bookmarkName="_Int_92cTkRJo" int2:invalidationBookmarkName="" int2:hashCode="MIH4jzm7pV7FwD" int2:id="kdOeonbB"/>
    <int2:bookmark int2:bookmarkName="_Int_112noi9i" int2:invalidationBookmarkName="" int2:hashCode="2NsFG74bPWqEVb" int2:id="lY5ZjClZ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364A"/>
    <w:multiLevelType w:val="hybridMultilevel"/>
    <w:tmpl w:val="09461BB6"/>
    <w:lvl w:ilvl="0" w:tplc="57F49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A8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87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A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2F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86D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0C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6F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23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01054"/>
    <w:multiLevelType w:val="hybridMultilevel"/>
    <w:tmpl w:val="60E4682A"/>
    <w:lvl w:ilvl="0" w:tplc="7312FA82">
      <w:start w:val="1"/>
      <w:numFmt w:val="decimal"/>
      <w:lvlText w:val="%1."/>
      <w:lvlJc w:val="left"/>
      <w:pPr>
        <w:ind w:left="720" w:hanging="360"/>
      </w:pPr>
    </w:lvl>
    <w:lvl w:ilvl="1" w:tplc="06DECA8E">
      <w:start w:val="1"/>
      <w:numFmt w:val="lowerLetter"/>
      <w:lvlText w:val="%2."/>
      <w:lvlJc w:val="left"/>
      <w:pPr>
        <w:ind w:left="1440" w:hanging="360"/>
      </w:pPr>
    </w:lvl>
    <w:lvl w:ilvl="2" w:tplc="24563BAC">
      <w:start w:val="1"/>
      <w:numFmt w:val="lowerRoman"/>
      <w:lvlText w:val="%3."/>
      <w:lvlJc w:val="right"/>
      <w:pPr>
        <w:ind w:left="2160" w:hanging="180"/>
      </w:pPr>
    </w:lvl>
    <w:lvl w:ilvl="3" w:tplc="BF8E53A4">
      <w:start w:val="1"/>
      <w:numFmt w:val="decimal"/>
      <w:lvlText w:val="%4."/>
      <w:lvlJc w:val="left"/>
      <w:pPr>
        <w:ind w:left="2880" w:hanging="360"/>
      </w:pPr>
    </w:lvl>
    <w:lvl w:ilvl="4" w:tplc="360CDA8C">
      <w:start w:val="1"/>
      <w:numFmt w:val="lowerLetter"/>
      <w:lvlText w:val="%5."/>
      <w:lvlJc w:val="left"/>
      <w:pPr>
        <w:ind w:left="3600" w:hanging="360"/>
      </w:pPr>
    </w:lvl>
    <w:lvl w:ilvl="5" w:tplc="EE7A6398">
      <w:start w:val="1"/>
      <w:numFmt w:val="lowerRoman"/>
      <w:lvlText w:val="%6."/>
      <w:lvlJc w:val="right"/>
      <w:pPr>
        <w:ind w:left="4320" w:hanging="180"/>
      </w:pPr>
    </w:lvl>
    <w:lvl w:ilvl="6" w:tplc="272663F2">
      <w:start w:val="1"/>
      <w:numFmt w:val="decimal"/>
      <w:lvlText w:val="%7."/>
      <w:lvlJc w:val="left"/>
      <w:pPr>
        <w:ind w:left="5040" w:hanging="360"/>
      </w:pPr>
    </w:lvl>
    <w:lvl w:ilvl="7" w:tplc="94A275AA">
      <w:start w:val="1"/>
      <w:numFmt w:val="lowerLetter"/>
      <w:lvlText w:val="%8."/>
      <w:lvlJc w:val="left"/>
      <w:pPr>
        <w:ind w:left="5760" w:hanging="360"/>
      </w:pPr>
    </w:lvl>
    <w:lvl w:ilvl="8" w:tplc="998646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0D40F"/>
    <w:multiLevelType w:val="hybridMultilevel"/>
    <w:tmpl w:val="B3BA64CA"/>
    <w:lvl w:ilvl="0" w:tplc="EE26B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61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AB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2A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4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E0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A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26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E2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81940">
    <w:abstractNumId w:val="0"/>
  </w:num>
  <w:num w:numId="2" w16cid:durableId="209927510">
    <w:abstractNumId w:val="1"/>
  </w:num>
  <w:num w:numId="3" w16cid:durableId="1660844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0BC716"/>
    <w:rsid w:val="001C4FB2"/>
    <w:rsid w:val="00755B01"/>
    <w:rsid w:val="00811880"/>
    <w:rsid w:val="00877204"/>
    <w:rsid w:val="00B078BE"/>
    <w:rsid w:val="00D870B7"/>
    <w:rsid w:val="02A97BEF"/>
    <w:rsid w:val="0444405A"/>
    <w:rsid w:val="077CED12"/>
    <w:rsid w:val="089E6441"/>
    <w:rsid w:val="0918BD73"/>
    <w:rsid w:val="0A94DAAD"/>
    <w:rsid w:val="0EC9B54C"/>
    <w:rsid w:val="1096A434"/>
    <w:rsid w:val="1123CF58"/>
    <w:rsid w:val="112A8DEE"/>
    <w:rsid w:val="12BF9FB9"/>
    <w:rsid w:val="12F24987"/>
    <w:rsid w:val="148E19E8"/>
    <w:rsid w:val="14E8C7EA"/>
    <w:rsid w:val="175A3558"/>
    <w:rsid w:val="179310DC"/>
    <w:rsid w:val="1A6E765B"/>
    <w:rsid w:val="1A91D61A"/>
    <w:rsid w:val="1AD29F24"/>
    <w:rsid w:val="1D1D3B89"/>
    <w:rsid w:val="1EF0E857"/>
    <w:rsid w:val="24AC2B38"/>
    <w:rsid w:val="250F2511"/>
    <w:rsid w:val="2E92CBE4"/>
    <w:rsid w:val="2EFAFE46"/>
    <w:rsid w:val="309E3667"/>
    <w:rsid w:val="30AFF704"/>
    <w:rsid w:val="31490181"/>
    <w:rsid w:val="379BB3D2"/>
    <w:rsid w:val="38457A57"/>
    <w:rsid w:val="3BF2A9AB"/>
    <w:rsid w:val="3D8E7A0C"/>
    <w:rsid w:val="3ED418A7"/>
    <w:rsid w:val="3F43CBDE"/>
    <w:rsid w:val="4248C2D2"/>
    <w:rsid w:val="426CD7AA"/>
    <w:rsid w:val="43E49333"/>
    <w:rsid w:val="48D9C2E7"/>
    <w:rsid w:val="49675E3D"/>
    <w:rsid w:val="4AF165E4"/>
    <w:rsid w:val="4E2906A6"/>
    <w:rsid w:val="4FFF8BDE"/>
    <w:rsid w:val="50FC63BE"/>
    <w:rsid w:val="53398132"/>
    <w:rsid w:val="54ACC485"/>
    <w:rsid w:val="577174DA"/>
    <w:rsid w:val="586ED59C"/>
    <w:rsid w:val="59C25477"/>
    <w:rsid w:val="5A0BC716"/>
    <w:rsid w:val="5C96ECCC"/>
    <w:rsid w:val="601FF1C0"/>
    <w:rsid w:val="626A8E25"/>
    <w:rsid w:val="63AE5540"/>
    <w:rsid w:val="68C0A74C"/>
    <w:rsid w:val="6B0340FB"/>
    <w:rsid w:val="6B62A467"/>
    <w:rsid w:val="6DA80DB8"/>
    <w:rsid w:val="71B8BD8E"/>
    <w:rsid w:val="727B3E19"/>
    <w:rsid w:val="74006B02"/>
    <w:rsid w:val="755A51EC"/>
    <w:rsid w:val="7812E801"/>
    <w:rsid w:val="78868091"/>
    <w:rsid w:val="78B7993C"/>
    <w:rsid w:val="7CD0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C716"/>
  <w15:chartTrackingRefBased/>
  <w15:docId w15:val="{DA85FEEB-8505-426A-91EE-3B329BEB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al.ie/app/uploads/2022/07/A-Comparison-of-Women-and-Men-Supported-by-SICAP-A-Learning-Brief-by-Pobal.pdf" TargetMode="External"/><Relationship Id="rId13" Type="http://schemas.openxmlformats.org/officeDocument/2006/relationships/hyperlink" Target="https://www.pobal.ie/app/uploads/2018/05/Exploring-LCDP-Training-Programmes-ESRI-2016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bal.ie/app/uploads/2018/06/Ethnic-Data-Collection-Good-Practice-Guidelines-for-SICAP-Programme-Implimenters-PI.pdf" TargetMode="External"/><Relationship Id="rId17" Type="http://schemas.openxmlformats.org/officeDocument/2006/relationships/image" Target="cid:image002.png@01D8CCF1.2D03113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bal.ie/app/uploads/2018/06/New-Good-practice-for-working-with-NEETs-under-SICAP-Full-Report.pdf" TargetMode="External"/><Relationship Id="rId5" Type="http://schemas.openxmlformats.org/officeDocument/2006/relationships/styles" Target="styles.xml"/><Relationship Id="rId15" Type="http://schemas.openxmlformats.org/officeDocument/2006/relationships/image" Target="cid:image001.png@01D8CCF1.2D031130" TargetMode="External"/><Relationship Id="rId10" Type="http://schemas.openxmlformats.org/officeDocument/2006/relationships/hyperlink" Target="https://www.pobal.ie/app/uploads/2018/06/ESRI-2020-Evaluation-of-SICAP-Pre-employment-Supports_compressed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pobal.ie/app/uploads/2021/03/The-Role-of-SICAP-in-Supporting-New-Communities_23.03.2021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3BA7DC6E2A24787A9B1B16BD9F98B" ma:contentTypeVersion="6" ma:contentTypeDescription="Create a new document." ma:contentTypeScope="" ma:versionID="4660e321f27f7c57d733139d20033c63">
  <xsd:schema xmlns:xsd="http://www.w3.org/2001/XMLSchema" xmlns:xs="http://www.w3.org/2001/XMLSchema" xmlns:p="http://schemas.microsoft.com/office/2006/metadata/properties" xmlns:ns2="fe97d6c6-e3b0-449c-880e-a7c101d366e9" xmlns:ns3="45b59883-5608-4539-a678-d9330c98cba2" targetNamespace="http://schemas.microsoft.com/office/2006/metadata/properties" ma:root="true" ma:fieldsID="55b6fdec541c0cd20462523519ed1712" ns2:_="" ns3:_="">
    <xsd:import namespace="fe97d6c6-e3b0-449c-880e-a7c101d366e9"/>
    <xsd:import namespace="45b59883-5608-4539-a678-d9330c98c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7d6c6-e3b0-449c-880e-a7c101d36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59883-5608-4539-a678-d9330c98c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2192D-78F6-4F95-960B-9B4B45B52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7d6c6-e3b0-449c-880e-a7c101d366e9"/>
    <ds:schemaRef ds:uri="45b59883-5608-4539-a678-d9330c98c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901F7-6AB7-4F90-9E7F-0E427FC26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2D96F-1F5E-4BDE-A559-0FE607593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mcgrath</dc:creator>
  <cp:keywords/>
  <dc:description/>
  <cp:lastModifiedBy>Renata Milewska</cp:lastModifiedBy>
  <cp:revision>3</cp:revision>
  <dcterms:created xsi:type="dcterms:W3CDTF">2022-09-20T11:49:00Z</dcterms:created>
  <dcterms:modified xsi:type="dcterms:W3CDTF">2022-09-20T15:08:00Z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0x010100A8B3BA7DC6E2A24787A9B1B16BD9F98B</vt:lpwstr>
  </property>
</Properties>
</file>